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EC9" w:rsidRPr="00591EC9" w:rsidRDefault="00591EC9" w:rsidP="00591EC9">
      <w:pPr>
        <w:widowControl/>
        <w:spacing w:line="380" w:lineRule="exact"/>
        <w:ind w:leftChars="75" w:left="795" w:hangingChars="192" w:hanging="615"/>
        <w:jc w:val="center"/>
        <w:rPr>
          <w:rFonts w:ascii="Times New Roman" w:eastAsia="標楷體" w:hAnsi="Times New Roman" w:cs="Times New Roman"/>
          <w:b/>
          <w:sz w:val="32"/>
          <w:szCs w:val="32"/>
        </w:rPr>
      </w:pPr>
      <w:r w:rsidRPr="00591EC9">
        <w:rPr>
          <w:rFonts w:ascii="Times New Roman" w:eastAsia="標楷體" w:hAnsi="Times New Roman" w:cs="Times New Roman"/>
          <w:b/>
          <w:sz w:val="32"/>
          <w:szCs w:val="32"/>
        </w:rPr>
        <w:t>國立嘉義大學</w:t>
      </w:r>
      <w:r w:rsidR="00933AA4">
        <w:rPr>
          <w:rFonts w:ascii="Times New Roman" w:eastAsia="標楷體" w:hAnsi="Times New Roman" w:cs="Times New Roman" w:hint="eastAsia"/>
          <w:b/>
          <w:sz w:val="32"/>
          <w:szCs w:val="32"/>
        </w:rPr>
        <w:t>附小</w:t>
      </w:r>
      <w:r w:rsidRPr="00591EC9">
        <w:rPr>
          <w:rFonts w:ascii="Times New Roman" w:eastAsia="標楷體" w:hAnsi="Times New Roman" w:cs="Times New Roman"/>
          <w:b/>
          <w:kern w:val="0"/>
          <w:sz w:val="32"/>
          <w:szCs w:val="32"/>
        </w:rPr>
        <w:t>內部控制</w:t>
      </w:r>
      <w:r w:rsidRPr="00591EC9">
        <w:rPr>
          <w:rFonts w:ascii="Times New Roman" w:eastAsia="標楷體" w:hAnsi="Times New Roman" w:cs="Times New Roman"/>
          <w:b/>
          <w:sz w:val="32"/>
          <w:szCs w:val="32"/>
        </w:rPr>
        <w:t>自行評估總表</w:t>
      </w:r>
    </w:p>
    <w:p w:rsidR="00591EC9" w:rsidRPr="00591EC9" w:rsidRDefault="00591EC9" w:rsidP="00591EC9">
      <w:pPr>
        <w:widowControl/>
        <w:spacing w:line="380" w:lineRule="exact"/>
        <w:ind w:leftChars="75" w:left="795" w:hangingChars="192" w:hanging="615"/>
        <w:jc w:val="center"/>
        <w:rPr>
          <w:rFonts w:ascii="Times New Roman" w:eastAsia="標楷體" w:hAnsi="Times New Roman" w:cs="Times New Roman"/>
          <w:b/>
          <w:sz w:val="32"/>
          <w:szCs w:val="32"/>
        </w:rPr>
      </w:pPr>
      <w:r w:rsidRPr="00591EC9">
        <w:rPr>
          <w:rFonts w:ascii="Segoe UI Emoji" w:eastAsia="Segoe UI Emoji" w:hAnsi="Segoe UI Emoji" w:cs="Segoe UI Emoji" w:hint="eastAsia"/>
          <w:b/>
          <w:sz w:val="32"/>
          <w:szCs w:val="32"/>
        </w:rPr>
        <w:t>○○</w:t>
      </w:r>
      <w:r w:rsidRPr="00591EC9">
        <w:rPr>
          <w:rFonts w:ascii="Times New Roman" w:eastAsia="標楷體" w:hAnsi="Times New Roman" w:cs="Times New Roman"/>
          <w:b/>
          <w:sz w:val="32"/>
          <w:szCs w:val="32"/>
        </w:rPr>
        <w:t>年度</w:t>
      </w:r>
    </w:p>
    <w:p w:rsidR="00591EC9" w:rsidRPr="00591EC9" w:rsidRDefault="00591EC9" w:rsidP="00591EC9">
      <w:pPr>
        <w:widowControl/>
        <w:spacing w:line="300" w:lineRule="exact"/>
        <w:ind w:leftChars="75" w:left="679" w:hangingChars="192" w:hanging="499"/>
        <w:rPr>
          <w:rFonts w:ascii="Times New Roman" w:eastAsia="標楷體" w:hAnsi="Times New Roman" w:cs="Times New Roman"/>
          <w:sz w:val="26"/>
          <w:szCs w:val="26"/>
        </w:rPr>
      </w:pPr>
      <w:r w:rsidRPr="00591EC9">
        <w:rPr>
          <w:rFonts w:ascii="Times New Roman" w:eastAsia="標楷體" w:hAnsi="Times New Roman" w:cs="Times New Roman"/>
          <w:sz w:val="26"/>
          <w:szCs w:val="26"/>
        </w:rPr>
        <w:t>評估單位：</w:t>
      </w:r>
      <w:r w:rsidRPr="00591EC9">
        <w:rPr>
          <w:rFonts w:ascii="Times New Roman" w:eastAsia="標楷體" w:hAnsi="Times New Roman" w:cs="Times New Roman" w:hint="eastAsia"/>
          <w:bCs/>
          <w:kern w:val="0"/>
          <w:sz w:val="26"/>
          <w:szCs w:val="26"/>
        </w:rPr>
        <w:t>○○</w:t>
      </w:r>
      <w:r w:rsidRPr="00591EC9">
        <w:rPr>
          <w:rFonts w:ascii="Times New Roman" w:eastAsia="標楷體" w:hAnsi="Times New Roman" w:cs="Times New Roman"/>
          <w:bCs/>
          <w:kern w:val="0"/>
          <w:sz w:val="26"/>
          <w:szCs w:val="26"/>
        </w:rPr>
        <w:t>處</w:t>
      </w:r>
      <w:r w:rsidRPr="00591EC9">
        <w:rPr>
          <w:rFonts w:ascii="Times New Roman" w:eastAsia="標楷體" w:hAnsi="Times New Roman" w:cs="Times New Roman"/>
          <w:bCs/>
          <w:kern w:val="0"/>
          <w:sz w:val="26"/>
          <w:szCs w:val="26"/>
        </w:rPr>
        <w:t>(</w:t>
      </w:r>
      <w:r w:rsidRPr="00591EC9">
        <w:rPr>
          <w:rFonts w:ascii="Times New Roman" w:eastAsia="標楷體" w:hAnsi="Times New Roman" w:cs="Times New Roman"/>
          <w:bCs/>
          <w:kern w:val="0"/>
          <w:sz w:val="26"/>
          <w:szCs w:val="26"/>
        </w:rPr>
        <w:t>室</w:t>
      </w:r>
      <w:r w:rsidRPr="00591EC9">
        <w:rPr>
          <w:rFonts w:ascii="Times New Roman" w:eastAsia="標楷體" w:hAnsi="Times New Roman" w:cs="Times New Roman"/>
          <w:bCs/>
          <w:kern w:val="0"/>
          <w:sz w:val="26"/>
          <w:szCs w:val="26"/>
        </w:rPr>
        <w:t>)</w:t>
      </w:r>
    </w:p>
    <w:p w:rsidR="00591EC9" w:rsidRPr="00591EC9" w:rsidRDefault="00591EC9" w:rsidP="00591EC9">
      <w:pPr>
        <w:widowControl/>
        <w:spacing w:line="300" w:lineRule="exact"/>
        <w:ind w:leftChars="75" w:left="679" w:hangingChars="192" w:hanging="499"/>
        <w:rPr>
          <w:rFonts w:ascii="Times New Roman" w:eastAsia="標楷體" w:hAnsi="Times New Roman" w:cs="Times New Roman"/>
          <w:sz w:val="26"/>
          <w:szCs w:val="26"/>
        </w:rPr>
      </w:pPr>
      <w:r w:rsidRPr="00591EC9">
        <w:rPr>
          <w:rFonts w:ascii="Times New Roman" w:eastAsia="標楷體" w:hAnsi="Times New Roman" w:cs="Times New Roman"/>
          <w:bCs/>
          <w:kern w:val="0"/>
          <w:sz w:val="26"/>
          <w:szCs w:val="26"/>
        </w:rPr>
        <w:t>評估期間：</w:t>
      </w:r>
      <w:r w:rsidRPr="00591EC9">
        <w:rPr>
          <w:rFonts w:ascii="Times New Roman" w:eastAsia="標楷體" w:hAnsi="Times New Roman" w:cs="Times New Roman" w:hint="eastAsia"/>
          <w:bCs/>
          <w:kern w:val="0"/>
          <w:sz w:val="26"/>
          <w:szCs w:val="26"/>
        </w:rPr>
        <w:t>○○</w:t>
      </w:r>
      <w:r w:rsidRPr="00591EC9">
        <w:rPr>
          <w:rFonts w:ascii="Times New Roman" w:eastAsia="標楷體" w:hAnsi="Times New Roman" w:cs="Times New Roman"/>
          <w:bCs/>
          <w:kern w:val="0"/>
          <w:sz w:val="26"/>
          <w:szCs w:val="26"/>
        </w:rPr>
        <w:t>年</w:t>
      </w:r>
      <w:r w:rsidRPr="00591EC9">
        <w:rPr>
          <w:rFonts w:ascii="Times New Roman" w:eastAsia="標楷體" w:hAnsi="Times New Roman" w:cs="Times New Roman" w:hint="eastAsia"/>
          <w:bCs/>
          <w:kern w:val="0"/>
          <w:sz w:val="26"/>
          <w:szCs w:val="26"/>
        </w:rPr>
        <w:t>1</w:t>
      </w:r>
      <w:r w:rsidRPr="00591EC9">
        <w:rPr>
          <w:rFonts w:ascii="Times New Roman" w:eastAsia="標楷體" w:hAnsi="Times New Roman" w:cs="Times New Roman"/>
          <w:bCs/>
          <w:kern w:val="0"/>
          <w:sz w:val="26"/>
          <w:szCs w:val="26"/>
        </w:rPr>
        <w:t>月</w:t>
      </w:r>
      <w:r w:rsidRPr="00591EC9">
        <w:rPr>
          <w:rFonts w:ascii="Times New Roman" w:eastAsia="標楷體" w:hAnsi="Times New Roman" w:cs="Times New Roman"/>
          <w:bCs/>
          <w:kern w:val="0"/>
          <w:sz w:val="26"/>
          <w:szCs w:val="26"/>
        </w:rPr>
        <w:t>1</w:t>
      </w:r>
      <w:r w:rsidRPr="00591EC9">
        <w:rPr>
          <w:rFonts w:ascii="Times New Roman" w:eastAsia="標楷體" w:hAnsi="Times New Roman" w:cs="Times New Roman"/>
          <w:bCs/>
          <w:kern w:val="0"/>
          <w:sz w:val="26"/>
          <w:szCs w:val="26"/>
        </w:rPr>
        <w:t>日至</w:t>
      </w:r>
      <w:r w:rsidRPr="00591EC9">
        <w:rPr>
          <w:rFonts w:ascii="Times New Roman" w:eastAsia="標楷體" w:hAnsi="Times New Roman" w:cs="Times New Roman" w:hint="eastAsia"/>
          <w:bCs/>
          <w:kern w:val="0"/>
          <w:sz w:val="26"/>
          <w:szCs w:val="26"/>
        </w:rPr>
        <w:t>12</w:t>
      </w:r>
      <w:r w:rsidRPr="00591EC9">
        <w:rPr>
          <w:rFonts w:ascii="Times New Roman" w:eastAsia="標楷體" w:hAnsi="Times New Roman" w:cs="Times New Roman"/>
          <w:bCs/>
          <w:kern w:val="0"/>
          <w:sz w:val="26"/>
          <w:szCs w:val="26"/>
        </w:rPr>
        <w:t>月</w:t>
      </w:r>
      <w:r w:rsidRPr="00591EC9">
        <w:rPr>
          <w:rFonts w:ascii="Times New Roman" w:eastAsia="標楷體" w:hAnsi="Times New Roman" w:cs="Times New Roman"/>
          <w:bCs/>
          <w:kern w:val="0"/>
          <w:sz w:val="26"/>
          <w:szCs w:val="26"/>
        </w:rPr>
        <w:t>31</w:t>
      </w:r>
      <w:r w:rsidRPr="00591EC9">
        <w:rPr>
          <w:rFonts w:ascii="Times New Roman" w:eastAsia="標楷體" w:hAnsi="Times New Roman" w:cs="Times New Roman"/>
          <w:bCs/>
          <w:kern w:val="0"/>
          <w:sz w:val="26"/>
          <w:szCs w:val="26"/>
        </w:rPr>
        <w:t>日</w:t>
      </w:r>
    </w:p>
    <w:p w:rsidR="00591EC9" w:rsidRPr="00591EC9" w:rsidRDefault="00591EC9" w:rsidP="00591EC9">
      <w:pPr>
        <w:widowControl/>
        <w:spacing w:line="300" w:lineRule="exact"/>
        <w:ind w:leftChars="75" w:left="679" w:hangingChars="192" w:hanging="499"/>
        <w:jc w:val="right"/>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評估日期：</w:t>
      </w:r>
      <w:r w:rsidRPr="00591EC9">
        <w:rPr>
          <w:rFonts w:ascii="Times New Roman" w:eastAsia="標楷體" w:hAnsi="Times New Roman" w:cs="Times New Roman"/>
          <w:bCs/>
          <w:kern w:val="0"/>
          <w:sz w:val="26"/>
          <w:szCs w:val="26"/>
        </w:rPr>
        <w:t xml:space="preserve">   </w:t>
      </w:r>
      <w:r w:rsidRPr="00591EC9">
        <w:rPr>
          <w:rFonts w:ascii="Times New Roman" w:eastAsia="標楷體" w:hAnsi="Times New Roman" w:cs="Times New Roman"/>
          <w:bCs/>
          <w:kern w:val="0"/>
          <w:sz w:val="26"/>
          <w:szCs w:val="26"/>
        </w:rPr>
        <w:t>年</w:t>
      </w:r>
      <w:r w:rsidRPr="00591EC9">
        <w:rPr>
          <w:rFonts w:ascii="Times New Roman" w:eastAsia="標楷體" w:hAnsi="Times New Roman" w:cs="Times New Roman"/>
          <w:bCs/>
          <w:kern w:val="0"/>
          <w:sz w:val="26"/>
          <w:szCs w:val="26"/>
        </w:rPr>
        <w:t xml:space="preserve">   </w:t>
      </w:r>
      <w:r w:rsidRPr="00591EC9">
        <w:rPr>
          <w:rFonts w:ascii="Times New Roman" w:eastAsia="標楷體" w:hAnsi="Times New Roman" w:cs="Times New Roman"/>
          <w:bCs/>
          <w:kern w:val="0"/>
          <w:sz w:val="26"/>
          <w:szCs w:val="26"/>
        </w:rPr>
        <w:t>月</w:t>
      </w:r>
      <w:r w:rsidRPr="00591EC9">
        <w:rPr>
          <w:rFonts w:ascii="Times New Roman" w:eastAsia="標楷體" w:hAnsi="Times New Roman" w:cs="Times New Roman"/>
          <w:bCs/>
          <w:kern w:val="0"/>
          <w:sz w:val="26"/>
          <w:szCs w:val="26"/>
        </w:rPr>
        <w:t xml:space="preserve">   </w:t>
      </w:r>
      <w:r w:rsidRPr="00591EC9">
        <w:rPr>
          <w:rFonts w:ascii="Times New Roman" w:eastAsia="標楷體" w:hAnsi="Times New Roman" w:cs="Times New Roman"/>
          <w:bCs/>
          <w:kern w:val="0"/>
          <w:sz w:val="26"/>
          <w:szCs w:val="26"/>
        </w:rPr>
        <w:t>日</w:t>
      </w:r>
    </w:p>
    <w:tbl>
      <w:tblPr>
        <w:tblW w:w="10874" w:type="dxa"/>
        <w:jc w:val="center"/>
        <w:tblLayout w:type="fixed"/>
        <w:tblCellMar>
          <w:left w:w="28" w:type="dxa"/>
          <w:right w:w="28" w:type="dxa"/>
        </w:tblCellMar>
        <w:tblLook w:val="0000" w:firstRow="0" w:lastRow="0" w:firstColumn="0" w:lastColumn="0" w:noHBand="0" w:noVBand="0"/>
      </w:tblPr>
      <w:tblGrid>
        <w:gridCol w:w="4131"/>
        <w:gridCol w:w="647"/>
        <w:gridCol w:w="709"/>
        <w:gridCol w:w="567"/>
        <w:gridCol w:w="487"/>
        <w:gridCol w:w="567"/>
        <w:gridCol w:w="1498"/>
        <w:gridCol w:w="1478"/>
        <w:gridCol w:w="790"/>
      </w:tblGrid>
      <w:tr w:rsidR="00591EC9" w:rsidRPr="00591EC9" w:rsidTr="00591EC9">
        <w:trPr>
          <w:trHeight w:val="150"/>
          <w:tblHeader/>
          <w:jc w:val="center"/>
        </w:trPr>
        <w:tc>
          <w:tcPr>
            <w:tcW w:w="4131" w:type="dxa"/>
            <w:vMerge w:val="restart"/>
            <w:tcBorders>
              <w:top w:val="single" w:sz="12" w:space="0" w:color="auto"/>
              <w:left w:val="single" w:sz="12" w:space="0" w:color="auto"/>
              <w:bottom w:val="single" w:sz="8" w:space="0" w:color="auto"/>
              <w:right w:val="single" w:sz="8" w:space="0" w:color="auto"/>
            </w:tcBorders>
            <w:shd w:val="clear" w:color="auto" w:fill="E0E0E0"/>
            <w:vAlign w:val="center"/>
          </w:tcPr>
          <w:p w:rsidR="00591EC9" w:rsidRPr="00591EC9" w:rsidRDefault="00591EC9" w:rsidP="00591EC9">
            <w:pPr>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評估重點</w:t>
            </w:r>
          </w:p>
        </w:tc>
        <w:tc>
          <w:tcPr>
            <w:tcW w:w="2977" w:type="dxa"/>
            <w:gridSpan w:val="5"/>
            <w:tcBorders>
              <w:top w:val="single" w:sz="12"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widowControl/>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評估情形</w:t>
            </w:r>
          </w:p>
        </w:tc>
        <w:tc>
          <w:tcPr>
            <w:tcW w:w="1498" w:type="dxa"/>
            <w:vMerge w:val="restart"/>
            <w:tcBorders>
              <w:top w:val="single" w:sz="12"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widowControl/>
              <w:snapToGrid w:val="0"/>
              <w:spacing w:line="22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部分落實</w:t>
            </w:r>
            <w:r w:rsidRPr="00591EC9">
              <w:rPr>
                <w:rFonts w:ascii="Times New Roman" w:eastAsia="標楷體" w:hAnsi="Times New Roman" w:cs="Times New Roman"/>
                <w:bCs/>
                <w:kern w:val="0"/>
                <w:sz w:val="26"/>
                <w:szCs w:val="26"/>
              </w:rPr>
              <w:t>/</w:t>
            </w:r>
            <w:r w:rsidRPr="00591EC9">
              <w:rPr>
                <w:rFonts w:ascii="Times New Roman" w:eastAsia="標楷體" w:hAnsi="Times New Roman" w:cs="Times New Roman"/>
                <w:bCs/>
                <w:kern w:val="0"/>
                <w:sz w:val="26"/>
                <w:szCs w:val="26"/>
              </w:rPr>
              <w:t>未落實</w:t>
            </w:r>
            <w:r w:rsidRPr="00591EC9">
              <w:rPr>
                <w:rFonts w:ascii="Times New Roman" w:eastAsia="標楷體" w:hAnsi="Times New Roman" w:cs="Times New Roman"/>
                <w:bCs/>
                <w:kern w:val="0"/>
                <w:sz w:val="26"/>
                <w:szCs w:val="26"/>
              </w:rPr>
              <w:t>/</w:t>
            </w:r>
            <w:r w:rsidRPr="00591EC9">
              <w:rPr>
                <w:rFonts w:ascii="Times New Roman" w:eastAsia="標楷體" w:hAnsi="Times New Roman" w:cs="Times New Roman"/>
                <w:bCs/>
                <w:kern w:val="0"/>
                <w:sz w:val="26"/>
                <w:szCs w:val="26"/>
              </w:rPr>
              <w:t>不適用情形說明</w:t>
            </w:r>
          </w:p>
        </w:tc>
        <w:tc>
          <w:tcPr>
            <w:tcW w:w="1478" w:type="dxa"/>
            <w:vMerge w:val="restart"/>
            <w:tcBorders>
              <w:top w:val="single" w:sz="12" w:space="0" w:color="auto"/>
              <w:left w:val="single" w:sz="8" w:space="0" w:color="auto"/>
              <w:bottom w:val="single" w:sz="8" w:space="0" w:color="auto"/>
              <w:right w:val="single" w:sz="12" w:space="0" w:color="auto"/>
            </w:tcBorders>
            <w:shd w:val="clear" w:color="auto" w:fill="E0E0E0"/>
            <w:vAlign w:val="center"/>
          </w:tcPr>
          <w:p w:rsidR="00591EC9" w:rsidRPr="00591EC9" w:rsidRDefault="00591EC9" w:rsidP="00591EC9">
            <w:pPr>
              <w:widowControl/>
              <w:snapToGrid w:val="0"/>
              <w:spacing w:line="24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改善措施</w:t>
            </w:r>
            <w:r w:rsidRPr="00591EC9">
              <w:rPr>
                <w:rFonts w:ascii="Times New Roman" w:eastAsia="標楷體" w:hAnsi="Times New Roman" w:cs="Times New Roman"/>
                <w:bCs/>
                <w:spacing w:val="-12"/>
                <w:kern w:val="0"/>
                <w:sz w:val="26"/>
                <w:szCs w:val="26"/>
              </w:rPr>
              <w:t>/</w:t>
            </w:r>
            <w:r w:rsidRPr="00591EC9">
              <w:rPr>
                <w:rFonts w:ascii="Times New Roman" w:eastAsia="標楷體" w:hAnsi="Times New Roman" w:cs="Times New Roman"/>
                <w:bCs/>
                <w:spacing w:val="-12"/>
                <w:kern w:val="0"/>
                <w:sz w:val="26"/>
                <w:szCs w:val="26"/>
              </w:rPr>
              <w:t>興革建議</w:t>
            </w:r>
          </w:p>
        </w:tc>
        <w:tc>
          <w:tcPr>
            <w:tcW w:w="790" w:type="dxa"/>
            <w:vMerge w:val="restart"/>
            <w:tcBorders>
              <w:top w:val="single" w:sz="12" w:space="0" w:color="auto"/>
              <w:left w:val="single" w:sz="8" w:space="0" w:color="auto"/>
              <w:right w:val="single" w:sz="12" w:space="0" w:color="auto"/>
            </w:tcBorders>
            <w:shd w:val="clear" w:color="auto" w:fill="EEECE1"/>
            <w:vAlign w:val="center"/>
          </w:tcPr>
          <w:p w:rsidR="00591EC9" w:rsidRPr="00591EC9" w:rsidRDefault="00591EC9" w:rsidP="00591EC9">
            <w:pPr>
              <w:widowControl/>
              <w:snapToGrid w:val="0"/>
              <w:spacing w:line="24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佐證資料編號</w:t>
            </w:r>
          </w:p>
        </w:tc>
      </w:tr>
      <w:tr w:rsidR="00591EC9" w:rsidRPr="00591EC9" w:rsidTr="00591EC9">
        <w:trPr>
          <w:trHeight w:val="32"/>
          <w:tblHeader/>
          <w:jc w:val="center"/>
        </w:trPr>
        <w:tc>
          <w:tcPr>
            <w:tcW w:w="4131" w:type="dxa"/>
            <w:vMerge/>
            <w:tcBorders>
              <w:top w:val="single" w:sz="8" w:space="0" w:color="auto"/>
              <w:left w:val="single" w:sz="12" w:space="0" w:color="auto"/>
              <w:bottom w:val="single" w:sz="8" w:space="0" w:color="auto"/>
              <w:right w:val="single" w:sz="8" w:space="0" w:color="auto"/>
            </w:tcBorders>
            <w:shd w:val="clear" w:color="auto" w:fill="C0C0C0"/>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6"/>
                <w:szCs w:val="26"/>
              </w:rPr>
            </w:pPr>
          </w:p>
        </w:tc>
        <w:tc>
          <w:tcPr>
            <w:tcW w:w="647" w:type="dxa"/>
            <w:tcBorders>
              <w:top w:val="single" w:sz="8"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落實</w:t>
            </w:r>
          </w:p>
        </w:tc>
        <w:tc>
          <w:tcPr>
            <w:tcW w:w="709" w:type="dxa"/>
            <w:tcBorders>
              <w:top w:val="single" w:sz="8"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部分落實</w:t>
            </w:r>
          </w:p>
        </w:tc>
        <w:tc>
          <w:tcPr>
            <w:tcW w:w="567" w:type="dxa"/>
            <w:tcBorders>
              <w:top w:val="single" w:sz="8"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未落實</w:t>
            </w:r>
          </w:p>
        </w:tc>
        <w:tc>
          <w:tcPr>
            <w:tcW w:w="487" w:type="dxa"/>
            <w:tcBorders>
              <w:top w:val="single" w:sz="8"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未發生</w:t>
            </w:r>
          </w:p>
        </w:tc>
        <w:tc>
          <w:tcPr>
            <w:tcW w:w="567" w:type="dxa"/>
            <w:tcBorders>
              <w:top w:val="single" w:sz="8" w:space="0" w:color="auto"/>
              <w:left w:val="single" w:sz="8" w:space="0" w:color="auto"/>
              <w:bottom w:val="single" w:sz="8" w:space="0" w:color="auto"/>
              <w:right w:val="single" w:sz="8" w:space="0" w:color="auto"/>
            </w:tcBorders>
            <w:shd w:val="clear" w:color="auto" w:fill="E0E0E0"/>
            <w:vAlign w:val="center"/>
          </w:tcPr>
          <w:p w:rsidR="00591EC9" w:rsidRPr="00591EC9" w:rsidRDefault="00591EC9" w:rsidP="00591EC9">
            <w:pPr>
              <w:snapToGrid w:val="0"/>
              <w:spacing w:line="400" w:lineRule="atLeast"/>
              <w:jc w:val="center"/>
              <w:rPr>
                <w:rFonts w:ascii="Times New Roman" w:eastAsia="標楷體" w:hAnsi="Times New Roman" w:cs="Times New Roman"/>
                <w:bCs/>
                <w:kern w:val="0"/>
                <w:sz w:val="26"/>
                <w:szCs w:val="26"/>
              </w:rPr>
            </w:pPr>
            <w:r w:rsidRPr="00591EC9">
              <w:rPr>
                <w:rFonts w:ascii="Times New Roman" w:eastAsia="標楷體" w:hAnsi="Times New Roman" w:cs="Times New Roman"/>
                <w:bCs/>
                <w:kern w:val="0"/>
                <w:sz w:val="26"/>
                <w:szCs w:val="26"/>
              </w:rPr>
              <w:t>不適用</w:t>
            </w:r>
          </w:p>
        </w:tc>
        <w:tc>
          <w:tcPr>
            <w:tcW w:w="1498" w:type="dxa"/>
            <w:vMerge/>
            <w:tcBorders>
              <w:top w:val="single" w:sz="8" w:space="0" w:color="auto"/>
              <w:left w:val="single" w:sz="8" w:space="0" w:color="auto"/>
              <w:bottom w:val="single" w:sz="8" w:space="0" w:color="auto"/>
              <w:right w:val="single" w:sz="8" w:space="0" w:color="auto"/>
            </w:tcBorders>
            <w:shd w:val="clear" w:color="auto" w:fill="C0C0C0"/>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1478" w:type="dxa"/>
            <w:vMerge/>
            <w:tcBorders>
              <w:top w:val="single" w:sz="8" w:space="0" w:color="auto"/>
              <w:left w:val="single" w:sz="8" w:space="0" w:color="auto"/>
              <w:bottom w:val="single" w:sz="8" w:space="0" w:color="auto"/>
              <w:right w:val="single" w:sz="12" w:space="0" w:color="auto"/>
            </w:tcBorders>
            <w:shd w:val="clear" w:color="auto" w:fill="C0C0C0"/>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6"/>
                <w:szCs w:val="26"/>
              </w:rPr>
            </w:pPr>
          </w:p>
        </w:tc>
        <w:tc>
          <w:tcPr>
            <w:tcW w:w="790" w:type="dxa"/>
            <w:vMerge/>
            <w:tcBorders>
              <w:left w:val="single" w:sz="8" w:space="0" w:color="auto"/>
              <w:bottom w:val="single" w:sz="8" w:space="0" w:color="auto"/>
              <w:right w:val="single" w:sz="12" w:space="0" w:color="auto"/>
            </w:tcBorders>
            <w:shd w:val="clear" w:color="auto" w:fill="EEECE1"/>
          </w:tcPr>
          <w:p w:rsidR="00591EC9" w:rsidRPr="00591EC9" w:rsidRDefault="00591EC9" w:rsidP="00591EC9">
            <w:pPr>
              <w:widowControl/>
              <w:snapToGrid w:val="0"/>
              <w:spacing w:line="400" w:lineRule="atLeast"/>
              <w:rPr>
                <w:rFonts w:ascii="Times New Roman" w:eastAsia="標楷體" w:hAnsi="Times New Roman" w:cs="Times New Roman"/>
                <w:bCs/>
                <w:kern w:val="0"/>
                <w:sz w:val="26"/>
                <w:szCs w:val="26"/>
              </w:rPr>
            </w:pPr>
          </w:p>
        </w:tc>
      </w:tr>
      <w:tr w:rsidR="00591EC9" w:rsidRPr="00591EC9" w:rsidTr="00B54D8F">
        <w:trPr>
          <w:trHeight w:val="1743"/>
          <w:jc w:val="center"/>
        </w:trPr>
        <w:tc>
          <w:tcPr>
            <w:tcW w:w="4131" w:type="dxa"/>
            <w:tcBorders>
              <w:top w:val="single" w:sz="8" w:space="0" w:color="auto"/>
              <w:left w:val="single" w:sz="12" w:space="0" w:color="auto"/>
              <w:bottom w:val="single" w:sz="8" w:space="0" w:color="auto"/>
              <w:right w:val="single" w:sz="8" w:space="0" w:color="auto"/>
            </w:tcBorders>
          </w:tcPr>
          <w:p w:rsidR="00591EC9" w:rsidRPr="00591EC9" w:rsidRDefault="00591EC9" w:rsidP="00591EC9">
            <w:pPr>
              <w:widowControl/>
              <w:numPr>
                <w:ilvl w:val="0"/>
                <w:numId w:val="2"/>
              </w:numPr>
              <w:snapToGrid w:val="0"/>
              <w:spacing w:line="360" w:lineRule="atLeast"/>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評估機關目標無法達成之風險，並決定需優先處理之風險項目，以及定期滾動檢討風險評估，以因應內部及外部環境之改變。</w:t>
            </w:r>
          </w:p>
          <w:p w:rsidR="00591EC9" w:rsidRPr="00591EC9" w:rsidRDefault="00591EC9" w:rsidP="00591EC9">
            <w:pPr>
              <w:widowControl/>
              <w:snapToGrid w:val="0"/>
              <w:spacing w:line="360" w:lineRule="atLeast"/>
              <w:ind w:left="720"/>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評估單位</w:t>
            </w: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各單位</w:t>
            </w:r>
            <w:r w:rsidRPr="00591EC9">
              <w:rPr>
                <w:rFonts w:ascii="Times New Roman" w:eastAsia="標楷體" w:hAnsi="Times New Roman" w:cs="Times New Roman"/>
                <w:color w:val="000000"/>
                <w:sz w:val="26"/>
                <w:szCs w:val="26"/>
              </w:rPr>
              <w:t>)</w:t>
            </w:r>
          </w:p>
        </w:tc>
        <w:tc>
          <w:tcPr>
            <w:tcW w:w="64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top w:val="single" w:sz="8" w:space="0" w:color="auto"/>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top w:val="single" w:sz="8" w:space="0" w:color="auto"/>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1420"/>
          <w:jc w:val="center"/>
        </w:trPr>
        <w:tc>
          <w:tcPr>
            <w:tcW w:w="4131" w:type="dxa"/>
            <w:tcBorders>
              <w:top w:val="single" w:sz="8" w:space="0" w:color="auto"/>
              <w:left w:val="single" w:sz="12" w:space="0" w:color="auto"/>
              <w:bottom w:val="single" w:sz="8" w:space="0" w:color="auto"/>
              <w:right w:val="single" w:sz="8" w:space="0" w:color="auto"/>
            </w:tcBorders>
          </w:tcPr>
          <w:p w:rsidR="00591EC9" w:rsidRPr="00591EC9" w:rsidRDefault="00591EC9" w:rsidP="00591EC9">
            <w:pPr>
              <w:widowControl/>
              <w:numPr>
                <w:ilvl w:val="0"/>
                <w:numId w:val="2"/>
              </w:numPr>
              <w:snapToGrid w:val="0"/>
              <w:spacing w:line="360" w:lineRule="atLeast"/>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依據各項業務性質與時俱進檢討不合時宜之控制作業及作業流程，並落實執行各項控制作業。</w:t>
            </w:r>
          </w:p>
          <w:p w:rsidR="00591EC9" w:rsidRPr="00591EC9" w:rsidRDefault="00591EC9" w:rsidP="00591EC9">
            <w:pPr>
              <w:widowControl/>
              <w:snapToGrid w:val="0"/>
              <w:spacing w:line="360" w:lineRule="atLeast"/>
              <w:ind w:left="720"/>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評估單位</w:t>
            </w: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各單位</w:t>
            </w:r>
            <w:r w:rsidRPr="00591EC9">
              <w:rPr>
                <w:rFonts w:ascii="Times New Roman" w:eastAsia="標楷體" w:hAnsi="Times New Roman" w:cs="Times New Roman"/>
                <w:color w:val="000000"/>
                <w:sz w:val="26"/>
                <w:szCs w:val="26"/>
              </w:rPr>
              <w:t>)</w:t>
            </w:r>
          </w:p>
        </w:tc>
        <w:tc>
          <w:tcPr>
            <w:tcW w:w="64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top w:val="single" w:sz="8" w:space="0" w:color="auto"/>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top w:val="single" w:sz="8" w:space="0" w:color="auto"/>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1417"/>
          <w:jc w:val="center"/>
        </w:trPr>
        <w:tc>
          <w:tcPr>
            <w:tcW w:w="4131" w:type="dxa"/>
            <w:tcBorders>
              <w:top w:val="single" w:sz="8" w:space="0" w:color="auto"/>
              <w:left w:val="single" w:sz="12" w:space="0" w:color="auto"/>
              <w:bottom w:val="single" w:sz="8" w:space="0" w:color="auto"/>
              <w:right w:val="single" w:sz="8" w:space="0" w:color="auto"/>
            </w:tcBorders>
          </w:tcPr>
          <w:p w:rsidR="00591EC9" w:rsidRPr="00591EC9" w:rsidRDefault="00591EC9" w:rsidP="00591EC9">
            <w:pPr>
              <w:widowControl/>
              <w:numPr>
                <w:ilvl w:val="0"/>
                <w:numId w:val="2"/>
              </w:numPr>
              <w:snapToGrid w:val="0"/>
              <w:spacing w:line="360" w:lineRule="atLeast"/>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建立檢討主管法令規定機制，並針對外界意見或執行缺失部分即時檢討相關法令規定。</w:t>
            </w:r>
          </w:p>
          <w:p w:rsidR="00591EC9" w:rsidRPr="00591EC9" w:rsidRDefault="00591EC9" w:rsidP="00591EC9">
            <w:pPr>
              <w:widowControl/>
              <w:snapToGrid w:val="0"/>
              <w:spacing w:line="360" w:lineRule="atLeast"/>
              <w:ind w:left="720"/>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評估單位</w:t>
            </w: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各單位</w:t>
            </w:r>
            <w:r w:rsidRPr="00591EC9">
              <w:rPr>
                <w:rFonts w:ascii="Times New Roman" w:eastAsia="標楷體" w:hAnsi="Times New Roman" w:cs="Times New Roman"/>
                <w:color w:val="000000"/>
                <w:sz w:val="26"/>
                <w:szCs w:val="26"/>
              </w:rPr>
              <w:t>)</w:t>
            </w:r>
          </w:p>
        </w:tc>
        <w:tc>
          <w:tcPr>
            <w:tcW w:w="64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top w:val="single" w:sz="8" w:space="0" w:color="auto"/>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top w:val="single" w:sz="8" w:space="0" w:color="auto"/>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697"/>
          <w:jc w:val="center"/>
        </w:trPr>
        <w:tc>
          <w:tcPr>
            <w:tcW w:w="4131" w:type="dxa"/>
            <w:tcBorders>
              <w:top w:val="single" w:sz="8" w:space="0" w:color="auto"/>
              <w:left w:val="single" w:sz="12" w:space="0" w:color="auto"/>
              <w:bottom w:val="single" w:sz="8" w:space="0" w:color="auto"/>
              <w:right w:val="single" w:sz="8" w:space="0" w:color="auto"/>
            </w:tcBorders>
          </w:tcPr>
          <w:p w:rsidR="00591EC9" w:rsidRPr="00591EC9" w:rsidRDefault="00591EC9" w:rsidP="00591EC9">
            <w:pPr>
              <w:widowControl/>
              <w:numPr>
                <w:ilvl w:val="0"/>
                <w:numId w:val="2"/>
              </w:numPr>
              <w:snapToGrid w:val="0"/>
              <w:spacing w:line="360" w:lineRule="atLeast"/>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遵循相關法令規定或契約。</w:t>
            </w:r>
          </w:p>
          <w:p w:rsidR="00591EC9" w:rsidRPr="00591EC9" w:rsidRDefault="00591EC9" w:rsidP="00591EC9">
            <w:pPr>
              <w:widowControl/>
              <w:snapToGrid w:val="0"/>
              <w:spacing w:line="360" w:lineRule="atLeast"/>
              <w:ind w:left="720"/>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評估單位</w:t>
            </w: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各單位</w:t>
            </w:r>
            <w:r w:rsidRPr="00591EC9">
              <w:rPr>
                <w:rFonts w:ascii="Times New Roman" w:eastAsia="標楷體" w:hAnsi="Times New Roman" w:cs="Times New Roman"/>
                <w:color w:val="000000"/>
                <w:sz w:val="26"/>
                <w:szCs w:val="26"/>
              </w:rPr>
              <w:t>)</w:t>
            </w:r>
          </w:p>
        </w:tc>
        <w:tc>
          <w:tcPr>
            <w:tcW w:w="64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top w:val="single" w:sz="8" w:space="0" w:color="auto"/>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top w:val="single" w:sz="8" w:space="0" w:color="auto"/>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2320"/>
          <w:jc w:val="center"/>
        </w:trPr>
        <w:tc>
          <w:tcPr>
            <w:tcW w:w="4131" w:type="dxa"/>
            <w:tcBorders>
              <w:top w:val="single" w:sz="8" w:space="0" w:color="auto"/>
              <w:left w:val="single" w:sz="12" w:space="0" w:color="auto"/>
              <w:bottom w:val="single" w:sz="8" w:space="0" w:color="auto"/>
              <w:right w:val="single" w:sz="8" w:space="0" w:color="auto"/>
            </w:tcBorders>
          </w:tcPr>
          <w:p w:rsidR="00591EC9" w:rsidRPr="00591EC9" w:rsidRDefault="00591EC9" w:rsidP="00591EC9">
            <w:pPr>
              <w:widowControl/>
              <w:numPr>
                <w:ilvl w:val="0"/>
                <w:numId w:val="2"/>
              </w:numPr>
              <w:snapToGrid w:val="0"/>
              <w:spacing w:line="360" w:lineRule="atLeast"/>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就涉及人民權利或義務之主管業務建立適當之檢核、審查、追蹤、管制或考核等管理機制，並除依法公開外，另依風險評估結果，推動其行政作業流程透明措施，以利外部監督及型</w:t>
            </w:r>
            <w:r w:rsidRPr="00591EC9">
              <w:rPr>
                <w:rFonts w:ascii="Times New Roman" w:eastAsia="標楷體" w:hAnsi="Times New Roman" w:cs="Times New Roman"/>
                <w:color w:val="000000"/>
                <w:sz w:val="28"/>
                <w:szCs w:val="28"/>
              </w:rPr>
              <w:t>塑廉能政府</w:t>
            </w:r>
            <w:r w:rsidRPr="00591EC9">
              <w:rPr>
                <w:rFonts w:ascii="Times New Roman" w:eastAsia="標楷體" w:hAnsi="Times New Roman" w:cs="Times New Roman"/>
                <w:color w:val="000000"/>
                <w:sz w:val="26"/>
                <w:szCs w:val="26"/>
              </w:rPr>
              <w:t>。</w:t>
            </w:r>
          </w:p>
          <w:p w:rsidR="00591EC9" w:rsidRPr="00591EC9" w:rsidRDefault="00591EC9" w:rsidP="00591EC9">
            <w:pPr>
              <w:widowControl/>
              <w:snapToGrid w:val="0"/>
              <w:spacing w:line="360" w:lineRule="atLeast"/>
              <w:ind w:left="720"/>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評估單位</w:t>
            </w: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各單位</w:t>
            </w:r>
            <w:r w:rsidRPr="00591EC9">
              <w:rPr>
                <w:rFonts w:ascii="Times New Roman" w:eastAsia="標楷體" w:hAnsi="Times New Roman" w:cs="Times New Roman"/>
                <w:color w:val="000000"/>
                <w:sz w:val="26"/>
                <w:szCs w:val="26"/>
              </w:rPr>
              <w:t>)</w:t>
            </w:r>
          </w:p>
        </w:tc>
        <w:tc>
          <w:tcPr>
            <w:tcW w:w="64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top w:val="single" w:sz="8" w:space="0" w:color="auto"/>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top w:val="single" w:sz="8" w:space="0" w:color="auto"/>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1024"/>
          <w:jc w:val="center"/>
        </w:trPr>
        <w:tc>
          <w:tcPr>
            <w:tcW w:w="4131" w:type="dxa"/>
            <w:tcBorders>
              <w:top w:val="single" w:sz="8" w:space="0" w:color="auto"/>
              <w:left w:val="single" w:sz="12" w:space="0" w:color="auto"/>
              <w:bottom w:val="single" w:sz="8" w:space="0" w:color="auto"/>
              <w:right w:val="single" w:sz="8" w:space="0" w:color="auto"/>
            </w:tcBorders>
          </w:tcPr>
          <w:p w:rsidR="00591EC9" w:rsidRPr="00591EC9" w:rsidRDefault="00591EC9" w:rsidP="00591EC9">
            <w:pPr>
              <w:widowControl/>
              <w:numPr>
                <w:ilvl w:val="0"/>
                <w:numId w:val="2"/>
              </w:numPr>
              <w:snapToGrid w:val="0"/>
              <w:spacing w:line="360" w:lineRule="atLeast"/>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就主管業務對相關機關或單位善盡監理、督導或輔導等責任。</w:t>
            </w:r>
          </w:p>
          <w:p w:rsidR="00591EC9" w:rsidRPr="00591EC9" w:rsidRDefault="00591EC9" w:rsidP="00591EC9">
            <w:pPr>
              <w:widowControl/>
              <w:snapToGrid w:val="0"/>
              <w:spacing w:line="360" w:lineRule="atLeast"/>
              <w:ind w:left="720"/>
              <w:jc w:val="both"/>
              <w:rPr>
                <w:rFonts w:ascii="Times New Roman" w:eastAsia="標楷體" w:hAnsi="Times New Roman" w:cs="Times New Roman"/>
                <w:color w:val="000000"/>
                <w:sz w:val="26"/>
                <w:szCs w:val="26"/>
              </w:rPr>
            </w:pP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評估單位</w:t>
            </w:r>
            <w:r w:rsidRPr="00591EC9">
              <w:rPr>
                <w:rFonts w:ascii="Times New Roman" w:eastAsia="標楷體" w:hAnsi="Times New Roman" w:cs="Times New Roman"/>
                <w:color w:val="000000"/>
                <w:sz w:val="26"/>
                <w:szCs w:val="26"/>
              </w:rPr>
              <w:t>:</w:t>
            </w:r>
            <w:r w:rsidRPr="00591EC9">
              <w:rPr>
                <w:rFonts w:ascii="Times New Roman" w:eastAsia="標楷體" w:hAnsi="Times New Roman" w:cs="Times New Roman"/>
                <w:color w:val="000000"/>
                <w:sz w:val="26"/>
                <w:szCs w:val="26"/>
                <w:lang w:eastAsia="zh-HK"/>
              </w:rPr>
              <w:t>各單位</w:t>
            </w:r>
            <w:r w:rsidRPr="00591EC9">
              <w:rPr>
                <w:rFonts w:ascii="Times New Roman" w:eastAsia="標楷體" w:hAnsi="Times New Roman" w:cs="Times New Roman"/>
                <w:color w:val="000000"/>
                <w:sz w:val="26"/>
                <w:szCs w:val="26"/>
              </w:rPr>
              <w:t>)</w:t>
            </w:r>
          </w:p>
        </w:tc>
        <w:tc>
          <w:tcPr>
            <w:tcW w:w="64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top w:val="single" w:sz="8" w:space="0" w:color="auto"/>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top w:val="single" w:sz="8" w:space="0" w:color="auto"/>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top w:val="single" w:sz="8" w:space="0" w:color="auto"/>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1773"/>
          <w:jc w:val="center"/>
        </w:trPr>
        <w:tc>
          <w:tcPr>
            <w:tcW w:w="4131" w:type="dxa"/>
            <w:tcBorders>
              <w:left w:val="single" w:sz="12" w:space="0" w:color="auto"/>
              <w:bottom w:val="single" w:sz="8" w:space="0" w:color="auto"/>
              <w:right w:val="single" w:sz="8" w:space="0" w:color="auto"/>
            </w:tcBorders>
          </w:tcPr>
          <w:p w:rsidR="00591EC9" w:rsidRPr="00591EC9" w:rsidRDefault="00591EC9" w:rsidP="00591EC9">
            <w:pPr>
              <w:widowControl/>
              <w:snapToGrid w:val="0"/>
              <w:spacing w:line="360" w:lineRule="atLeast"/>
              <w:ind w:left="480" w:hangingChars="200" w:hanging="480"/>
              <w:jc w:val="both"/>
              <w:rPr>
                <w:rFonts w:ascii="Times New Roman" w:eastAsia="標楷體" w:hAnsi="Times New Roman" w:cs="Times New Roman"/>
                <w:szCs w:val="24"/>
              </w:rPr>
            </w:pPr>
            <w:r w:rsidRPr="00591EC9">
              <w:rPr>
                <w:rFonts w:ascii="Times New Roman" w:eastAsia="標楷體" w:hAnsi="Times New Roman" w:cs="Times New Roman" w:hint="eastAsia"/>
                <w:szCs w:val="24"/>
              </w:rPr>
              <w:lastRenderedPageBreak/>
              <w:t>七</w:t>
            </w:r>
            <w:r w:rsidRPr="00591EC9">
              <w:rPr>
                <w:rFonts w:ascii="Times New Roman" w:eastAsia="標楷體" w:hAnsi="Times New Roman" w:cs="Times New Roman"/>
                <w:szCs w:val="24"/>
              </w:rPr>
              <w:t>、</w:t>
            </w:r>
            <w:r w:rsidRPr="00591EC9">
              <w:rPr>
                <w:rFonts w:ascii="Times New Roman" w:eastAsia="標楷體" w:hAnsi="Times New Roman" w:cs="Times New Roman"/>
                <w:sz w:val="26"/>
                <w:szCs w:val="26"/>
              </w:rPr>
              <w:t>針對內部高風險業務設有明確職能分工及職務輪調等機制。</w:t>
            </w:r>
          </w:p>
          <w:p w:rsidR="00591EC9" w:rsidRPr="00591EC9" w:rsidRDefault="00591EC9" w:rsidP="00591EC9">
            <w:pPr>
              <w:widowControl/>
              <w:snapToGrid w:val="0"/>
              <w:spacing w:line="360" w:lineRule="atLeast"/>
              <w:ind w:leftChars="211" w:left="506"/>
              <w:jc w:val="both"/>
              <w:rPr>
                <w:rFonts w:ascii="Times New Roman" w:eastAsia="標楷體" w:hAnsi="Times New Roman" w:cs="Times New Roman"/>
                <w:szCs w:val="24"/>
              </w:rPr>
            </w:pP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評估單位</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總務處出納組、主計室、人事室</w:t>
            </w:r>
            <w:r w:rsidRPr="00591EC9">
              <w:rPr>
                <w:rFonts w:ascii="Times New Roman" w:eastAsia="標楷體" w:hAnsi="Times New Roman" w:cs="Times New Roman"/>
                <w:b/>
                <w:color w:val="FF0000"/>
                <w:szCs w:val="24"/>
              </w:rPr>
              <w:t>)</w:t>
            </w:r>
          </w:p>
        </w:tc>
        <w:tc>
          <w:tcPr>
            <w:tcW w:w="647" w:type="dxa"/>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left w:val="single" w:sz="8" w:space="0" w:color="auto"/>
              <w:bottom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left w:val="single" w:sz="8" w:space="0" w:color="auto"/>
              <w:bottom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left w:val="single" w:sz="8" w:space="0" w:color="auto"/>
              <w:bottom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cantSplit/>
          <w:trHeight w:val="1022"/>
          <w:jc w:val="center"/>
        </w:trPr>
        <w:tc>
          <w:tcPr>
            <w:tcW w:w="4131" w:type="dxa"/>
            <w:tcBorders>
              <w:left w:val="single" w:sz="12" w:space="0" w:color="auto"/>
              <w:right w:val="single" w:sz="8" w:space="0" w:color="auto"/>
            </w:tcBorders>
          </w:tcPr>
          <w:p w:rsidR="00591EC9" w:rsidRPr="00591EC9" w:rsidRDefault="00591EC9" w:rsidP="00591EC9">
            <w:pPr>
              <w:widowControl/>
              <w:snapToGrid w:val="0"/>
              <w:spacing w:line="360" w:lineRule="atLeast"/>
              <w:ind w:left="429" w:hangingChars="165" w:hanging="429"/>
              <w:jc w:val="both"/>
              <w:rPr>
                <w:rFonts w:ascii="Times New Roman" w:eastAsia="標楷體" w:hAnsi="Times New Roman" w:cs="Times New Roman"/>
                <w:sz w:val="26"/>
                <w:szCs w:val="26"/>
              </w:rPr>
            </w:pPr>
            <w:r w:rsidRPr="00591EC9">
              <w:rPr>
                <w:rFonts w:ascii="Times New Roman" w:eastAsia="標楷體" w:hAnsi="Times New Roman" w:cs="Times New Roman" w:hint="eastAsia"/>
                <w:sz w:val="26"/>
                <w:szCs w:val="26"/>
              </w:rPr>
              <w:t>八</w:t>
            </w:r>
            <w:r w:rsidRPr="00591EC9">
              <w:rPr>
                <w:rFonts w:ascii="Times New Roman" w:eastAsia="標楷體" w:hAnsi="Times New Roman" w:cs="Times New Roman"/>
                <w:sz w:val="26"/>
                <w:szCs w:val="26"/>
              </w:rPr>
              <w:t>、稽核評估職能單位及負責內部控制或內部稽核業務幕僚單位依相關法令規定落實辦理下列工作</w:t>
            </w:r>
            <w:r w:rsidRPr="00591EC9">
              <w:rPr>
                <w:rFonts w:ascii="Times New Roman" w:eastAsia="標楷體" w:hAnsi="Times New Roman" w:cs="Times New Roman"/>
                <w:sz w:val="16"/>
                <w:szCs w:val="16"/>
              </w:rPr>
              <w:t>(</w:t>
            </w:r>
            <w:r w:rsidRPr="00591EC9">
              <w:rPr>
                <w:rFonts w:ascii="Times New Roman" w:eastAsia="標楷體" w:hAnsi="Times New Roman" w:cs="Times New Roman"/>
                <w:sz w:val="16"/>
                <w:szCs w:val="16"/>
              </w:rPr>
              <w:t>註</w:t>
            </w:r>
            <w:r w:rsidRPr="00591EC9">
              <w:rPr>
                <w:rFonts w:ascii="Times New Roman" w:eastAsia="標楷體" w:hAnsi="Times New Roman" w:cs="Times New Roman"/>
                <w:sz w:val="16"/>
                <w:szCs w:val="16"/>
              </w:rPr>
              <w:t>3)</w:t>
            </w:r>
            <w:r w:rsidRPr="00591EC9">
              <w:rPr>
                <w:rFonts w:ascii="Times New Roman" w:eastAsia="標楷體" w:hAnsi="Times New Roman" w:cs="Times New Roman"/>
                <w:szCs w:val="24"/>
              </w:rPr>
              <w:t>：</w:t>
            </w:r>
          </w:p>
          <w:p w:rsidR="00591EC9" w:rsidRPr="00591EC9" w:rsidRDefault="00591EC9" w:rsidP="00591EC9">
            <w:pPr>
              <w:widowControl/>
              <w:numPr>
                <w:ilvl w:val="0"/>
                <w:numId w:val="1"/>
              </w:numPr>
              <w:snapToGrid w:val="0"/>
              <w:spacing w:line="360" w:lineRule="atLeast"/>
              <w:ind w:left="907" w:hanging="532"/>
              <w:jc w:val="both"/>
              <w:rPr>
                <w:rFonts w:ascii="Times New Roman" w:eastAsia="標楷體" w:hAnsi="Times New Roman" w:cs="Times New Roman"/>
                <w:sz w:val="26"/>
                <w:szCs w:val="26"/>
              </w:rPr>
            </w:pPr>
            <w:r w:rsidRPr="00591EC9">
              <w:rPr>
                <w:rFonts w:ascii="Times New Roman" w:eastAsia="標楷體" w:hAnsi="Times New Roman" w:cs="Times New Roman"/>
                <w:sz w:val="26"/>
                <w:szCs w:val="26"/>
              </w:rPr>
              <w:t>施政績效管考。</w:t>
            </w:r>
          </w:p>
          <w:p w:rsidR="00591EC9" w:rsidRPr="00591EC9" w:rsidRDefault="00591EC9" w:rsidP="00591EC9">
            <w:pPr>
              <w:widowControl/>
              <w:numPr>
                <w:ilvl w:val="0"/>
                <w:numId w:val="1"/>
              </w:numPr>
              <w:tabs>
                <w:tab w:val="num" w:pos="1114"/>
              </w:tabs>
              <w:snapToGrid w:val="0"/>
              <w:spacing w:line="360" w:lineRule="atLeast"/>
              <w:ind w:left="907" w:hanging="532"/>
              <w:jc w:val="both"/>
              <w:rPr>
                <w:rFonts w:ascii="Times New Roman" w:eastAsia="標楷體" w:hAnsi="Times New Roman" w:cs="Times New Roman"/>
                <w:szCs w:val="24"/>
              </w:rPr>
            </w:pPr>
            <w:r w:rsidRPr="00591EC9">
              <w:rPr>
                <w:rFonts w:ascii="Times New Roman" w:eastAsia="標楷體" w:hAnsi="Times New Roman" w:cs="Times New Roman"/>
                <w:sz w:val="26"/>
                <w:szCs w:val="26"/>
              </w:rPr>
              <w:t>各單位依其相關法令規定辦理之稽核、稽查及審核等管考工作。</w:t>
            </w:r>
            <w:r w:rsidRPr="00591EC9">
              <w:rPr>
                <w:rFonts w:ascii="Times New Roman" w:eastAsia="標楷體" w:hAnsi="Times New Roman" w:cs="Times New Roman"/>
                <w:sz w:val="26"/>
                <w:szCs w:val="26"/>
              </w:rPr>
              <w:t>(</w:t>
            </w:r>
            <w:r w:rsidRPr="00591EC9">
              <w:rPr>
                <w:rFonts w:ascii="Times New Roman" w:eastAsia="標楷體" w:hAnsi="Times New Roman" w:cs="Times New Roman"/>
                <w:sz w:val="26"/>
                <w:szCs w:val="26"/>
              </w:rPr>
              <w:t>詳參備註</w:t>
            </w:r>
            <w:r w:rsidRPr="00591EC9">
              <w:rPr>
                <w:rFonts w:ascii="Times New Roman" w:eastAsia="標楷體" w:hAnsi="Times New Roman" w:cs="Times New Roman"/>
                <w:sz w:val="20"/>
                <w:szCs w:val="26"/>
              </w:rPr>
              <w:t>3</w:t>
            </w:r>
            <w:r w:rsidRPr="00591EC9">
              <w:rPr>
                <w:rFonts w:ascii="Times New Roman" w:eastAsia="標楷體" w:hAnsi="Times New Roman" w:cs="Times New Roman"/>
                <w:sz w:val="26"/>
                <w:szCs w:val="26"/>
              </w:rPr>
              <w:t>)</w:t>
            </w:r>
          </w:p>
          <w:p w:rsidR="00591EC9" w:rsidRPr="00591EC9" w:rsidRDefault="00591EC9" w:rsidP="00591EC9">
            <w:pPr>
              <w:widowControl/>
              <w:numPr>
                <w:ilvl w:val="0"/>
                <w:numId w:val="1"/>
              </w:numPr>
              <w:tabs>
                <w:tab w:val="num" w:pos="1114"/>
              </w:tabs>
              <w:snapToGrid w:val="0"/>
              <w:spacing w:line="360" w:lineRule="atLeast"/>
              <w:ind w:left="907" w:hanging="532"/>
              <w:jc w:val="both"/>
              <w:rPr>
                <w:rFonts w:ascii="Times New Roman" w:eastAsia="標楷體" w:hAnsi="Times New Roman" w:cs="Times New Roman"/>
                <w:szCs w:val="24"/>
              </w:rPr>
            </w:pPr>
            <w:r w:rsidRPr="00591EC9">
              <w:rPr>
                <w:rFonts w:ascii="Times New Roman" w:eastAsia="標楷體" w:hAnsi="Times New Roman" w:cs="Times New Roman"/>
                <w:sz w:val="26"/>
                <w:szCs w:val="26"/>
              </w:rPr>
              <w:t>定期檢討內部控制</w:t>
            </w:r>
            <w:r w:rsidRPr="00591EC9">
              <w:rPr>
                <w:rFonts w:ascii="Times New Roman" w:eastAsia="標楷體" w:hAnsi="Times New Roman" w:cs="Times New Roman"/>
                <w:szCs w:val="24"/>
              </w:rPr>
              <w:t>機制</w:t>
            </w:r>
            <w:r w:rsidRPr="00591EC9">
              <w:rPr>
                <w:rFonts w:ascii="Times New Roman" w:eastAsia="標楷體" w:hAnsi="Times New Roman" w:cs="Times New Roman"/>
                <w:sz w:val="26"/>
                <w:szCs w:val="26"/>
              </w:rPr>
              <w:t>。</w:t>
            </w:r>
          </w:p>
          <w:p w:rsidR="00591EC9" w:rsidRPr="00591EC9" w:rsidRDefault="00591EC9" w:rsidP="00591EC9">
            <w:pPr>
              <w:widowControl/>
              <w:snapToGrid w:val="0"/>
              <w:spacing w:line="360" w:lineRule="atLeast"/>
              <w:ind w:leftChars="211" w:left="506"/>
              <w:jc w:val="both"/>
              <w:rPr>
                <w:rFonts w:ascii="Times New Roman" w:eastAsia="標楷體" w:hAnsi="Times New Roman" w:cs="Times New Roman"/>
                <w:b/>
                <w:szCs w:val="24"/>
              </w:rPr>
            </w:pP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評估單位</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請參</w:t>
            </w:r>
            <w:r w:rsidRPr="00591EC9">
              <w:rPr>
                <w:rFonts w:ascii="Times New Roman" w:eastAsia="標楷體" w:hAnsi="Times New Roman" w:cs="Times New Roman" w:hint="eastAsia"/>
                <w:b/>
                <w:color w:val="FF0000"/>
                <w:szCs w:val="24"/>
              </w:rPr>
              <w:t>填表說明一、部分評估重點補充說明項次八說明</w:t>
            </w:r>
            <w:r w:rsidRPr="00591EC9">
              <w:rPr>
                <w:rFonts w:ascii="Times New Roman" w:eastAsia="標楷體" w:hAnsi="Times New Roman" w:cs="Times New Roman"/>
                <w:b/>
                <w:color w:val="FF0000"/>
                <w:szCs w:val="24"/>
              </w:rPr>
              <w:t>)</w:t>
            </w:r>
          </w:p>
        </w:tc>
        <w:tc>
          <w:tcPr>
            <w:tcW w:w="647" w:type="dxa"/>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left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vMerge w:val="restart"/>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vMerge w:val="restart"/>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left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left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cantSplit/>
          <w:trHeight w:val="1022"/>
          <w:jc w:val="center"/>
        </w:trPr>
        <w:tc>
          <w:tcPr>
            <w:tcW w:w="4131" w:type="dxa"/>
            <w:tcBorders>
              <w:left w:val="single" w:sz="12" w:space="0" w:color="auto"/>
              <w:right w:val="single" w:sz="8" w:space="0" w:color="auto"/>
            </w:tcBorders>
          </w:tcPr>
          <w:p w:rsidR="00591EC9" w:rsidRPr="00591EC9" w:rsidRDefault="00591EC9" w:rsidP="00591EC9">
            <w:pPr>
              <w:widowControl/>
              <w:snapToGrid w:val="0"/>
              <w:spacing w:line="360" w:lineRule="atLeast"/>
              <w:ind w:left="520" w:hangingChars="200" w:hanging="520"/>
              <w:jc w:val="both"/>
              <w:rPr>
                <w:rFonts w:ascii="Times New Roman" w:eastAsia="標楷體" w:hAnsi="Times New Roman" w:cs="Times New Roman"/>
                <w:sz w:val="26"/>
                <w:szCs w:val="26"/>
              </w:rPr>
            </w:pPr>
          </w:p>
        </w:tc>
        <w:tc>
          <w:tcPr>
            <w:tcW w:w="647" w:type="dxa"/>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709" w:type="dxa"/>
            <w:tcBorders>
              <w:left w:val="single" w:sz="8" w:space="0" w:color="auto"/>
              <w:right w:val="single" w:sz="8" w:space="0" w:color="auto"/>
            </w:tcBorders>
            <w:vAlign w:val="center"/>
          </w:tcPr>
          <w:p w:rsidR="00591EC9" w:rsidRPr="00591EC9" w:rsidRDefault="00591EC9" w:rsidP="00591EC9">
            <w:pPr>
              <w:snapToGrid w:val="0"/>
              <w:spacing w:line="400" w:lineRule="atLeast"/>
              <w:rPr>
                <w:rFonts w:ascii="Times New Roman" w:eastAsia="標楷體" w:hAnsi="Times New Roman" w:cs="Times New Roman"/>
                <w:bCs/>
                <w:kern w:val="0"/>
                <w:sz w:val="26"/>
                <w:szCs w:val="26"/>
              </w:rPr>
            </w:pPr>
          </w:p>
        </w:tc>
        <w:tc>
          <w:tcPr>
            <w:tcW w:w="567" w:type="dxa"/>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487" w:type="dxa"/>
            <w:vMerge/>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567" w:type="dxa"/>
            <w:vMerge/>
            <w:tcBorders>
              <w:left w:val="single" w:sz="8" w:space="0" w:color="auto"/>
              <w:bottom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98" w:type="dxa"/>
            <w:tcBorders>
              <w:left w:val="single" w:sz="8" w:space="0" w:color="auto"/>
              <w:right w:val="single" w:sz="8"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 w:val="20"/>
                <w:szCs w:val="20"/>
              </w:rPr>
            </w:pPr>
          </w:p>
        </w:tc>
        <w:tc>
          <w:tcPr>
            <w:tcW w:w="1478" w:type="dxa"/>
            <w:tcBorders>
              <w:left w:val="single" w:sz="8" w:space="0" w:color="auto"/>
              <w:right w:val="single" w:sz="12" w:space="0" w:color="auto"/>
            </w:tcBorders>
            <w:vAlign w:val="center"/>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c>
          <w:tcPr>
            <w:tcW w:w="790" w:type="dxa"/>
            <w:tcBorders>
              <w:left w:val="single" w:sz="8" w:space="0" w:color="auto"/>
              <w:right w:val="single" w:sz="12" w:space="0" w:color="auto"/>
            </w:tcBorders>
          </w:tcPr>
          <w:p w:rsidR="00591EC9" w:rsidRPr="00591EC9" w:rsidRDefault="00591EC9" w:rsidP="00591EC9">
            <w:pPr>
              <w:widowControl/>
              <w:snapToGrid w:val="0"/>
              <w:spacing w:line="400" w:lineRule="atLeast"/>
              <w:rPr>
                <w:rFonts w:ascii="Times New Roman" w:eastAsia="標楷體" w:hAnsi="Times New Roman" w:cs="Times New Roman"/>
                <w:bCs/>
                <w:kern w:val="0"/>
                <w:szCs w:val="24"/>
              </w:rPr>
            </w:pPr>
          </w:p>
        </w:tc>
      </w:tr>
      <w:tr w:rsidR="00591EC9" w:rsidRPr="00591EC9" w:rsidTr="00B54D8F">
        <w:trPr>
          <w:trHeight w:val="920"/>
          <w:jc w:val="center"/>
        </w:trPr>
        <w:tc>
          <w:tcPr>
            <w:tcW w:w="10874" w:type="dxa"/>
            <w:gridSpan w:val="9"/>
            <w:tcBorders>
              <w:top w:val="single" w:sz="12" w:space="0" w:color="auto"/>
              <w:left w:val="single" w:sz="12" w:space="0" w:color="auto"/>
              <w:bottom w:val="single" w:sz="12" w:space="0" w:color="auto"/>
              <w:right w:val="single" w:sz="12" w:space="0" w:color="auto"/>
            </w:tcBorders>
            <w:vAlign w:val="center"/>
          </w:tcPr>
          <w:p w:rsidR="00591EC9" w:rsidRPr="00591EC9" w:rsidRDefault="00591EC9" w:rsidP="00591EC9">
            <w:pPr>
              <w:widowControl/>
              <w:snapToGrid w:val="0"/>
              <w:spacing w:line="400" w:lineRule="atLeast"/>
              <w:jc w:val="both"/>
              <w:rPr>
                <w:rFonts w:ascii="Times New Roman" w:eastAsia="標楷體" w:hAnsi="Times New Roman" w:cs="Times New Roman"/>
                <w:sz w:val="26"/>
                <w:szCs w:val="26"/>
              </w:rPr>
            </w:pPr>
            <w:r w:rsidRPr="00591EC9">
              <w:rPr>
                <w:rFonts w:ascii="Times New Roman" w:eastAsia="標楷體" w:hAnsi="Times New Roman" w:cs="Times New Roman"/>
                <w:sz w:val="26"/>
                <w:szCs w:val="26"/>
              </w:rPr>
              <w:t>填表人：</w:t>
            </w:r>
            <w:r w:rsidRPr="00591EC9">
              <w:rPr>
                <w:rFonts w:ascii="Times New Roman" w:eastAsia="標楷體" w:hAnsi="Times New Roman" w:cs="Times New Roman"/>
                <w:sz w:val="26"/>
                <w:szCs w:val="26"/>
              </w:rPr>
              <w:t xml:space="preserve">               </w:t>
            </w:r>
            <w:r w:rsidRPr="00591EC9">
              <w:rPr>
                <w:rFonts w:ascii="Times New Roman" w:eastAsia="標楷體" w:hAnsi="Times New Roman" w:cs="Times New Roman"/>
                <w:sz w:val="26"/>
                <w:szCs w:val="26"/>
              </w:rPr>
              <w:t>複核：</w:t>
            </w:r>
            <w:r w:rsidRPr="00591EC9">
              <w:rPr>
                <w:rFonts w:ascii="Times New Roman" w:eastAsia="標楷體" w:hAnsi="Times New Roman" w:cs="Times New Roman"/>
                <w:sz w:val="26"/>
                <w:szCs w:val="26"/>
              </w:rPr>
              <w:t xml:space="preserve">                  </w:t>
            </w:r>
            <w:r w:rsidRPr="00591EC9">
              <w:rPr>
                <w:rFonts w:ascii="Times New Roman" w:eastAsia="標楷體" w:hAnsi="Times New Roman" w:cs="Times New Roman"/>
                <w:sz w:val="26"/>
                <w:szCs w:val="26"/>
              </w:rPr>
              <w:t>單位主管：</w:t>
            </w:r>
          </w:p>
        </w:tc>
      </w:tr>
    </w:tbl>
    <w:p w:rsidR="00591EC9" w:rsidRPr="00591EC9" w:rsidRDefault="00591EC9" w:rsidP="00591EC9">
      <w:pPr>
        <w:adjustRightInd w:val="0"/>
        <w:snapToGrid w:val="0"/>
        <w:spacing w:line="240" w:lineRule="atLeast"/>
        <w:ind w:leftChars="-122" w:left="660" w:hangingChars="397" w:hanging="953"/>
        <w:rPr>
          <w:rFonts w:ascii="Times New Roman" w:eastAsia="標楷體" w:hAnsi="Times New Roman" w:cs="Times New Roman"/>
          <w:szCs w:val="24"/>
        </w:rPr>
      </w:pPr>
    </w:p>
    <w:p w:rsidR="00591EC9" w:rsidRPr="00591EC9" w:rsidRDefault="00591EC9" w:rsidP="00591EC9">
      <w:pPr>
        <w:widowControl/>
        <w:spacing w:line="340" w:lineRule="exact"/>
        <w:ind w:leftChars="75" w:left="641" w:hangingChars="192" w:hanging="461"/>
        <w:jc w:val="center"/>
        <w:rPr>
          <w:rFonts w:ascii="標楷體" w:eastAsia="標楷體" w:hAnsi="標楷體" w:cs="Times New Roman"/>
          <w:b/>
          <w:szCs w:val="24"/>
        </w:rPr>
      </w:pPr>
      <w:r w:rsidRPr="00591EC9">
        <w:rPr>
          <w:rFonts w:ascii="標楷體" w:eastAsia="標楷體" w:hAnsi="標楷體" w:cs="新細明體"/>
          <w:b/>
          <w:kern w:val="0"/>
          <w:szCs w:val="24"/>
        </w:rPr>
        <w:t>填表說明</w:t>
      </w:r>
    </w:p>
    <w:p w:rsidR="00591EC9" w:rsidRPr="00591EC9" w:rsidRDefault="00591EC9" w:rsidP="00591EC9">
      <w:pPr>
        <w:numPr>
          <w:ilvl w:val="0"/>
          <w:numId w:val="3"/>
        </w:numPr>
        <w:suppressAutoHyphens/>
        <w:autoSpaceDN w:val="0"/>
        <w:spacing w:line="340" w:lineRule="exact"/>
        <w:jc w:val="both"/>
        <w:textAlignment w:val="baseline"/>
        <w:rPr>
          <w:rFonts w:ascii="標楷體" w:eastAsia="標楷體" w:hAnsi="標楷體" w:cs="Times New Roman"/>
          <w:szCs w:val="24"/>
        </w:rPr>
      </w:pPr>
      <w:r w:rsidRPr="00591EC9">
        <w:rPr>
          <w:rFonts w:ascii="標楷體" w:eastAsia="標楷體" w:hAnsi="標楷體" w:cs="Times New Roman" w:hint="eastAsia"/>
          <w:szCs w:val="24"/>
        </w:rPr>
        <w:t>部分</w:t>
      </w:r>
      <w:r w:rsidRPr="00591EC9">
        <w:rPr>
          <w:rFonts w:ascii="標楷體" w:eastAsia="標楷體" w:hAnsi="標楷體" w:cs="Times New Roman"/>
          <w:szCs w:val="24"/>
        </w:rPr>
        <w:t>評估重點補充說明</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24"/>
        <w:gridCol w:w="5841"/>
      </w:tblGrid>
      <w:tr w:rsidR="00591EC9" w:rsidRPr="00591EC9" w:rsidTr="00B54D8F">
        <w:trPr>
          <w:jc w:val="center"/>
        </w:trPr>
        <w:tc>
          <w:tcPr>
            <w:tcW w:w="4933" w:type="dxa"/>
            <w:gridSpan w:val="2"/>
            <w:shd w:val="clear" w:color="auto" w:fill="auto"/>
          </w:tcPr>
          <w:p w:rsidR="00591EC9" w:rsidRPr="00591EC9" w:rsidRDefault="00591EC9" w:rsidP="00591EC9">
            <w:pPr>
              <w:spacing w:line="400" w:lineRule="exact"/>
              <w:jc w:val="center"/>
              <w:rPr>
                <w:rFonts w:ascii="標楷體" w:eastAsia="標楷體" w:hAnsi="標楷體" w:cs="Times New Roman"/>
                <w:szCs w:val="24"/>
              </w:rPr>
            </w:pPr>
            <w:r w:rsidRPr="00591EC9">
              <w:rPr>
                <w:rFonts w:ascii="標楷體" w:eastAsia="標楷體" w:hAnsi="標楷體" w:cs="Times New Roman" w:hint="eastAsia"/>
                <w:szCs w:val="24"/>
              </w:rPr>
              <w:t>評估重點</w:t>
            </w:r>
          </w:p>
        </w:tc>
        <w:tc>
          <w:tcPr>
            <w:tcW w:w="5841" w:type="dxa"/>
            <w:vMerge w:val="restart"/>
            <w:shd w:val="clear" w:color="auto" w:fill="auto"/>
            <w:vAlign w:val="center"/>
          </w:tcPr>
          <w:p w:rsidR="00591EC9" w:rsidRPr="00591EC9" w:rsidRDefault="00591EC9" w:rsidP="00591EC9">
            <w:pPr>
              <w:spacing w:line="400" w:lineRule="exact"/>
              <w:jc w:val="center"/>
              <w:rPr>
                <w:rFonts w:ascii="標楷體" w:eastAsia="標楷體" w:hAnsi="標楷體" w:cs="Times New Roman"/>
                <w:szCs w:val="24"/>
              </w:rPr>
            </w:pPr>
            <w:r w:rsidRPr="00591EC9">
              <w:rPr>
                <w:rFonts w:ascii="標楷體" w:eastAsia="標楷體" w:hAnsi="標楷體" w:cs="Times New Roman" w:hint="eastAsia"/>
                <w:szCs w:val="24"/>
              </w:rPr>
              <w:t>說明</w:t>
            </w:r>
          </w:p>
        </w:tc>
      </w:tr>
      <w:tr w:rsidR="00591EC9" w:rsidRPr="00591EC9" w:rsidTr="00B54D8F">
        <w:trPr>
          <w:jc w:val="center"/>
        </w:trPr>
        <w:tc>
          <w:tcPr>
            <w:tcW w:w="709"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項次</w:t>
            </w:r>
          </w:p>
        </w:tc>
        <w:tc>
          <w:tcPr>
            <w:tcW w:w="4224" w:type="dxa"/>
            <w:shd w:val="clear" w:color="auto" w:fill="auto"/>
          </w:tcPr>
          <w:p w:rsidR="00591EC9" w:rsidRPr="00591EC9" w:rsidRDefault="00591EC9" w:rsidP="00591EC9">
            <w:pPr>
              <w:spacing w:line="400" w:lineRule="exact"/>
              <w:jc w:val="center"/>
              <w:rPr>
                <w:rFonts w:ascii="標楷體" w:eastAsia="標楷體" w:hAnsi="標楷體" w:cs="Times New Roman"/>
                <w:szCs w:val="24"/>
              </w:rPr>
            </w:pPr>
            <w:r w:rsidRPr="00591EC9">
              <w:rPr>
                <w:rFonts w:ascii="標楷體" w:eastAsia="標楷體" w:hAnsi="標楷體" w:cs="Times New Roman" w:hint="eastAsia"/>
                <w:szCs w:val="24"/>
              </w:rPr>
              <w:t>內容</w:t>
            </w:r>
          </w:p>
        </w:tc>
        <w:tc>
          <w:tcPr>
            <w:tcW w:w="5841" w:type="dxa"/>
            <w:vMerge/>
            <w:shd w:val="clear" w:color="auto" w:fill="auto"/>
          </w:tcPr>
          <w:p w:rsidR="00591EC9" w:rsidRPr="00591EC9" w:rsidRDefault="00591EC9" w:rsidP="00591EC9">
            <w:pPr>
              <w:spacing w:line="400" w:lineRule="exact"/>
              <w:jc w:val="both"/>
              <w:rPr>
                <w:rFonts w:ascii="標楷體" w:eastAsia="標楷體" w:hAnsi="標楷體" w:cs="Times New Roman"/>
                <w:szCs w:val="24"/>
              </w:rPr>
            </w:pPr>
          </w:p>
        </w:tc>
      </w:tr>
      <w:tr w:rsidR="00591EC9" w:rsidRPr="00591EC9" w:rsidTr="00B54D8F">
        <w:trPr>
          <w:jc w:val="center"/>
        </w:trPr>
        <w:tc>
          <w:tcPr>
            <w:tcW w:w="709"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一</w:t>
            </w:r>
          </w:p>
        </w:tc>
        <w:tc>
          <w:tcPr>
            <w:tcW w:w="4224"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評估單位目標無法達成之風險，並決定須優先處理之風險項目，以及定期滾動檢討風險評估，以因應內部及外部環境之改變。</w:t>
            </w:r>
          </w:p>
        </w:tc>
        <w:tc>
          <w:tcPr>
            <w:tcW w:w="5841"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各單位應配合施政目標或重要計畫項目等，依「行政院及所屬各機關風險管理及危機處理作業原則」及相關作業手冊所列風險辨識、風險評估及風險處理等風險管理(含內部控制)步驟，定期進行風險滾動檢討作業。</w:t>
            </w:r>
          </w:p>
        </w:tc>
      </w:tr>
      <w:tr w:rsidR="00591EC9" w:rsidRPr="00591EC9" w:rsidTr="00B54D8F">
        <w:trPr>
          <w:jc w:val="center"/>
        </w:trPr>
        <w:tc>
          <w:tcPr>
            <w:tcW w:w="709"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二</w:t>
            </w:r>
          </w:p>
        </w:tc>
        <w:tc>
          <w:tcPr>
            <w:tcW w:w="4224"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依據各項業務性質與時俱進檢討不合時宜之控制作業及作業流程，並落實執</w:t>
            </w:r>
            <w:r w:rsidRPr="00591EC9">
              <w:rPr>
                <w:rFonts w:ascii="標楷體" w:eastAsia="標楷體" w:hAnsi="標楷體" w:cs="Times New Roman" w:hint="eastAsia"/>
                <w:szCs w:val="24"/>
              </w:rPr>
              <w:lastRenderedPageBreak/>
              <w:t>行各項控制作業。</w:t>
            </w:r>
          </w:p>
        </w:tc>
        <w:tc>
          <w:tcPr>
            <w:tcW w:w="5841"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lastRenderedPageBreak/>
              <w:t>各單位應定期滾動檢討機關風險管理作業計畫書、內部控制制度、外部機構驗證通過之標準制度文件及相</w:t>
            </w:r>
            <w:r w:rsidRPr="00591EC9">
              <w:rPr>
                <w:rFonts w:ascii="標楷體" w:eastAsia="標楷體" w:hAnsi="標楷體" w:cs="Times New Roman" w:hint="eastAsia"/>
                <w:szCs w:val="24"/>
              </w:rPr>
              <w:lastRenderedPageBreak/>
              <w:t>關規定等所列各項控制作業與作業流程，及依據業務性質與時俱進檢討不合時宜者，並落實執行各項控制作業。</w:t>
            </w:r>
          </w:p>
        </w:tc>
      </w:tr>
      <w:tr w:rsidR="00591EC9" w:rsidRPr="00591EC9" w:rsidTr="00B54D8F">
        <w:trPr>
          <w:jc w:val="center"/>
        </w:trPr>
        <w:tc>
          <w:tcPr>
            <w:tcW w:w="709"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lastRenderedPageBreak/>
              <w:t>五</w:t>
            </w:r>
          </w:p>
        </w:tc>
        <w:tc>
          <w:tcPr>
            <w:tcW w:w="4224"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就涉及人民權利或義務之主管業務建立適當之檢核、審查、追蹤、管制或考核等管理機制，並依法推動行政作業流程透明措施，以利外部監督及形塑廉能政府。</w:t>
            </w:r>
          </w:p>
        </w:tc>
        <w:tc>
          <w:tcPr>
            <w:tcW w:w="5841"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各單位應針對主管業務涉及人民權利或義務者，建立適當之管理機制，並依政府資訊公開法、行政院及所屬機關</w:t>
            </w:r>
            <w:r w:rsidRPr="00591EC9">
              <w:rPr>
                <w:rFonts w:ascii="標楷體" w:eastAsia="標楷體" w:hAnsi="標楷體" w:cs="Times New Roman"/>
                <w:szCs w:val="24"/>
              </w:rPr>
              <w:t>(</w:t>
            </w:r>
            <w:r w:rsidRPr="00591EC9">
              <w:rPr>
                <w:rFonts w:ascii="標楷體" w:eastAsia="標楷體" w:hAnsi="標楷體" w:cs="Times New Roman" w:hint="eastAsia"/>
                <w:szCs w:val="24"/>
              </w:rPr>
              <w:t>構</w:t>
            </w:r>
            <w:r w:rsidRPr="00591EC9">
              <w:rPr>
                <w:rFonts w:ascii="標楷體" w:eastAsia="標楷體" w:hAnsi="標楷體" w:cs="Times New Roman"/>
                <w:szCs w:val="24"/>
              </w:rPr>
              <w:t>)</w:t>
            </w:r>
            <w:r w:rsidRPr="00591EC9">
              <w:rPr>
                <w:rFonts w:ascii="標楷體" w:eastAsia="標楷體" w:hAnsi="標楷體" w:cs="Times New Roman" w:hint="eastAsia"/>
                <w:szCs w:val="24"/>
              </w:rPr>
              <w:t>推動行政作業流程透明原則等規定，推動作業流程中與業務相關之法令適用、審查標（基）準、審核流程、審查進度與範例等事項之透明化，以利外部監督。</w:t>
            </w:r>
          </w:p>
        </w:tc>
      </w:tr>
      <w:tr w:rsidR="00591EC9" w:rsidRPr="00591EC9" w:rsidTr="00B54D8F">
        <w:trPr>
          <w:trHeight w:val="730"/>
          <w:jc w:val="center"/>
        </w:trPr>
        <w:tc>
          <w:tcPr>
            <w:tcW w:w="709"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七</w:t>
            </w:r>
          </w:p>
        </w:tc>
        <w:tc>
          <w:tcPr>
            <w:tcW w:w="4224"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針對內部高風險業務設有明確職能分工及職務輪調等機制。</w:t>
            </w:r>
          </w:p>
        </w:tc>
        <w:tc>
          <w:tcPr>
            <w:tcW w:w="5841"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各單位採購、出納、資訊安全或其他業務，如經評估屬高風險業務，應有明確職能分工及職務輪調等機制。</w:t>
            </w:r>
          </w:p>
        </w:tc>
      </w:tr>
      <w:tr w:rsidR="00591EC9" w:rsidRPr="00591EC9" w:rsidTr="00B54D8F">
        <w:trPr>
          <w:jc w:val="center"/>
        </w:trPr>
        <w:tc>
          <w:tcPr>
            <w:tcW w:w="709"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八</w:t>
            </w:r>
          </w:p>
        </w:tc>
        <w:tc>
          <w:tcPr>
            <w:tcW w:w="4224"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稽核評估職能單位及負責內部控制或內部稽核業務幕僚單位依相關法令規定落實辦理下列工作：</w:t>
            </w:r>
          </w:p>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(一)施政績效管考。</w:t>
            </w:r>
          </w:p>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(二)各單位依其相關法令規定辦理之稽核、稽查及審核等管考工作。</w:t>
            </w:r>
          </w:p>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(三)定期檢討內部控制機制。</w:t>
            </w:r>
          </w:p>
        </w:tc>
        <w:tc>
          <w:tcPr>
            <w:tcW w:w="5841" w:type="dxa"/>
            <w:shd w:val="clear" w:color="auto" w:fill="auto"/>
          </w:tcPr>
          <w:p w:rsidR="00591EC9" w:rsidRPr="00591EC9" w:rsidRDefault="00591EC9" w:rsidP="00591EC9">
            <w:pPr>
              <w:spacing w:line="400" w:lineRule="exact"/>
              <w:jc w:val="both"/>
              <w:rPr>
                <w:rFonts w:ascii="標楷體" w:eastAsia="標楷體" w:hAnsi="標楷體" w:cs="Times New Roman"/>
                <w:szCs w:val="24"/>
              </w:rPr>
            </w:pPr>
            <w:r w:rsidRPr="00591EC9">
              <w:rPr>
                <w:rFonts w:ascii="標楷體" w:eastAsia="標楷體" w:hAnsi="標楷體" w:cs="Times New Roman" w:hint="eastAsia"/>
                <w:szCs w:val="24"/>
              </w:rPr>
              <w:t>由稽核評估職能單位及負責內部控制或內部稽核業務幕僚單位自行填寫依其相關法令規定應辦理之工作，如</w:t>
            </w:r>
            <w:r w:rsidRPr="00591EC9">
              <w:rPr>
                <w:rFonts w:ascii="Times New Roman" w:eastAsia="標楷體" w:hAnsi="Times New Roman" w:cs="Times New Roman"/>
                <w:b/>
                <w:color w:val="FF0000"/>
                <w:szCs w:val="24"/>
              </w:rPr>
              <w:t>施政績效管考</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研</w:t>
            </w:r>
            <w:r w:rsidR="00933AA4">
              <w:rPr>
                <w:rFonts w:ascii="Times New Roman" w:eastAsia="標楷體" w:hAnsi="Times New Roman" w:cs="Times New Roman" w:hint="eastAsia"/>
                <w:b/>
                <w:color w:val="FF0000"/>
                <w:szCs w:val="24"/>
              </w:rPr>
              <w:t>究</w:t>
            </w:r>
            <w:r w:rsidRPr="00591EC9">
              <w:rPr>
                <w:rFonts w:ascii="Times New Roman" w:eastAsia="標楷體" w:hAnsi="Times New Roman" w:cs="Times New Roman"/>
                <w:b/>
                <w:color w:val="FF0000"/>
                <w:szCs w:val="24"/>
              </w:rPr>
              <w:t>處、</w:t>
            </w:r>
            <w:r w:rsidR="00933AA4">
              <w:rPr>
                <w:rFonts w:ascii="Times New Roman" w:eastAsia="標楷體" w:hAnsi="Times New Roman" w:cs="Times New Roman" w:hint="eastAsia"/>
                <w:b/>
                <w:color w:val="FF0000"/>
                <w:szCs w:val="24"/>
              </w:rPr>
              <w:t>總務處</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、資訊安全稽核</w:t>
            </w:r>
            <w:r w:rsidRPr="00591EC9">
              <w:rPr>
                <w:rFonts w:ascii="Times New Roman" w:eastAsia="標楷體" w:hAnsi="Times New Roman" w:cs="Times New Roman"/>
                <w:b/>
                <w:color w:val="FF0000"/>
                <w:szCs w:val="24"/>
              </w:rPr>
              <w:t>(</w:t>
            </w:r>
            <w:r w:rsidR="00933AA4">
              <w:rPr>
                <w:rFonts w:ascii="Times New Roman" w:eastAsia="標楷體" w:hAnsi="Times New Roman" w:cs="Times New Roman" w:hint="eastAsia"/>
                <w:b/>
                <w:color w:val="FF0000"/>
                <w:szCs w:val="24"/>
              </w:rPr>
              <w:t>資通安全管委會</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、政風查核</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含廉政風險評估</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人事室</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、政府採購稽核</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總務處</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、工程施工查核</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總務處</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、國家關鍵基礎設施安全防護、人事考核</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含考核工作績效及獎懲</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人事室</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、內部審核</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主計室</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、事務管理工作檢核</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總務處</w:t>
            </w:r>
            <w:r w:rsidRPr="00591EC9">
              <w:rPr>
                <w:rFonts w:ascii="Times New Roman" w:eastAsia="標楷體" w:hAnsi="Times New Roman" w:cs="Times New Roman"/>
                <w:b/>
                <w:color w:val="FF0000"/>
                <w:szCs w:val="24"/>
              </w:rPr>
              <w:t>)</w:t>
            </w:r>
            <w:r w:rsidRPr="00591EC9">
              <w:rPr>
                <w:rFonts w:ascii="Times New Roman" w:eastAsia="標楷體" w:hAnsi="Times New Roman" w:cs="Times New Roman"/>
                <w:b/>
                <w:color w:val="FF0000"/>
                <w:szCs w:val="24"/>
              </w:rPr>
              <w:t>及定期檢討內部控制機制</w:t>
            </w:r>
            <w:r w:rsidRPr="00591EC9">
              <w:rPr>
                <w:rFonts w:ascii="Times New Roman" w:eastAsia="標楷體" w:hAnsi="Times New Roman" w:cs="Times New Roman"/>
                <w:b/>
                <w:color w:val="FF0000"/>
                <w:szCs w:val="24"/>
              </w:rPr>
              <w:t>(</w:t>
            </w:r>
            <w:r w:rsidR="00933AA4">
              <w:rPr>
                <w:rFonts w:ascii="Times New Roman" w:eastAsia="標楷體" w:hAnsi="Times New Roman" w:cs="Times New Roman" w:hint="eastAsia"/>
                <w:b/>
                <w:color w:val="FF0000"/>
                <w:szCs w:val="24"/>
              </w:rPr>
              <w:t>總務處</w:t>
            </w:r>
            <w:r w:rsidRPr="00591EC9">
              <w:rPr>
                <w:rFonts w:ascii="Times New Roman" w:eastAsia="標楷體" w:hAnsi="Times New Roman" w:cs="Times New Roman"/>
                <w:b/>
                <w:color w:val="FF0000"/>
                <w:szCs w:val="24"/>
              </w:rPr>
              <w:t>)</w:t>
            </w:r>
            <w:r w:rsidRPr="00591EC9">
              <w:rPr>
                <w:rFonts w:ascii="標楷體" w:eastAsia="標楷體" w:hAnsi="標楷體" w:cs="Times New Roman" w:hint="eastAsia"/>
                <w:szCs w:val="24"/>
              </w:rPr>
              <w:t>等工作。</w:t>
            </w:r>
          </w:p>
        </w:tc>
      </w:tr>
    </w:tbl>
    <w:p w:rsidR="00591EC9" w:rsidRPr="00591EC9" w:rsidRDefault="00591EC9" w:rsidP="00591EC9">
      <w:pPr>
        <w:spacing w:line="360" w:lineRule="exact"/>
        <w:ind w:leftChars="18" w:left="504" w:hangingChars="192" w:hanging="461"/>
        <w:jc w:val="both"/>
        <w:rPr>
          <w:rFonts w:ascii="標楷體" w:eastAsia="標楷體" w:hAnsi="標楷體" w:cs="Times New Roman"/>
          <w:szCs w:val="24"/>
        </w:rPr>
      </w:pPr>
      <w:r w:rsidRPr="00591EC9">
        <w:rPr>
          <w:rFonts w:ascii="標楷體" w:eastAsia="標楷體" w:hAnsi="標楷體" w:cs="Times New Roman"/>
          <w:szCs w:val="24"/>
        </w:rPr>
        <w:t>二、除本表所列</w:t>
      </w:r>
      <w:r w:rsidRPr="00591EC9">
        <w:rPr>
          <w:rFonts w:ascii="標楷體" w:eastAsia="標楷體" w:hAnsi="標楷體" w:cs="Times New Roman" w:hint="eastAsia"/>
          <w:szCs w:val="24"/>
        </w:rPr>
        <w:t>8項</w:t>
      </w:r>
      <w:r w:rsidRPr="00591EC9">
        <w:rPr>
          <w:rFonts w:ascii="標楷體" w:eastAsia="標楷體" w:hAnsi="標楷體" w:cs="Times New Roman"/>
          <w:szCs w:val="24"/>
        </w:rPr>
        <w:t>必要評估重點外，各單位另得視業務性質及外部意見等調整增列評估重點項目</w:t>
      </w:r>
      <w:r w:rsidRPr="00591EC9">
        <w:rPr>
          <w:rFonts w:ascii="標楷體" w:eastAsia="標楷體" w:hAnsi="標楷體" w:cs="Times New Roman"/>
          <w:kern w:val="0"/>
          <w:szCs w:val="24"/>
        </w:rPr>
        <w:t>。</w:t>
      </w:r>
    </w:p>
    <w:p w:rsidR="00591EC9" w:rsidRPr="00591EC9" w:rsidRDefault="00591EC9" w:rsidP="00591EC9">
      <w:pPr>
        <w:spacing w:line="360" w:lineRule="exact"/>
        <w:ind w:leftChars="18" w:left="504" w:hangingChars="192" w:hanging="461"/>
        <w:jc w:val="both"/>
        <w:rPr>
          <w:rFonts w:ascii="標楷體" w:eastAsia="標楷體" w:hAnsi="標楷體" w:cs="Times New Roman"/>
          <w:kern w:val="0"/>
          <w:szCs w:val="24"/>
        </w:rPr>
      </w:pPr>
      <w:r w:rsidRPr="00591EC9">
        <w:rPr>
          <w:rFonts w:ascii="標楷體" w:eastAsia="標楷體" w:hAnsi="標楷體" w:cs="Times New Roman"/>
          <w:kern w:val="0"/>
          <w:szCs w:val="24"/>
        </w:rPr>
        <w:t>三、「</w:t>
      </w:r>
      <w:r w:rsidRPr="00591EC9">
        <w:rPr>
          <w:rFonts w:ascii="標楷體" w:eastAsia="標楷體" w:hAnsi="標楷體" w:cs="Times New Roman"/>
          <w:szCs w:val="24"/>
        </w:rPr>
        <w:t>評估</w:t>
      </w:r>
      <w:r w:rsidRPr="00591EC9">
        <w:rPr>
          <w:rFonts w:ascii="標楷體" w:eastAsia="標楷體" w:hAnsi="標楷體" w:cs="Times New Roman"/>
          <w:kern w:val="0"/>
          <w:szCs w:val="24"/>
        </w:rPr>
        <w:t>期間」係指本項作業自行評估所涵蓋之期間；「評估日期」指執行</w:t>
      </w:r>
      <w:r w:rsidRPr="00591EC9">
        <w:rPr>
          <w:rFonts w:ascii="標楷體" w:eastAsia="標楷體" w:hAnsi="標楷體" w:cs="Times New Roman" w:hint="eastAsia"/>
          <w:kern w:val="0"/>
          <w:szCs w:val="24"/>
        </w:rPr>
        <w:t>本</w:t>
      </w:r>
      <w:r w:rsidRPr="00591EC9">
        <w:rPr>
          <w:rFonts w:ascii="標楷體" w:eastAsia="標楷體" w:hAnsi="標楷體" w:cs="Times New Roman"/>
          <w:kern w:val="0"/>
          <w:szCs w:val="24"/>
        </w:rPr>
        <w:t>項評估之日期。</w:t>
      </w:r>
    </w:p>
    <w:p w:rsidR="00591EC9" w:rsidRPr="00591EC9" w:rsidRDefault="00591EC9" w:rsidP="00591EC9">
      <w:pPr>
        <w:spacing w:line="360" w:lineRule="exact"/>
        <w:ind w:leftChars="18" w:left="504" w:hangingChars="192" w:hanging="461"/>
        <w:jc w:val="both"/>
        <w:rPr>
          <w:rFonts w:ascii="標楷體" w:eastAsia="標楷體" w:hAnsi="標楷體" w:cs="Times New Roman"/>
          <w:kern w:val="0"/>
          <w:szCs w:val="24"/>
        </w:rPr>
      </w:pPr>
      <w:r w:rsidRPr="00591EC9">
        <w:rPr>
          <w:rFonts w:ascii="標楷體" w:eastAsia="標楷體" w:hAnsi="標楷體" w:cs="Times New Roman"/>
          <w:szCs w:val="24"/>
        </w:rPr>
        <w:t>四、評估</w:t>
      </w:r>
      <w:r w:rsidRPr="00591EC9">
        <w:rPr>
          <w:rFonts w:ascii="標楷體" w:eastAsia="標楷體" w:hAnsi="標楷體" w:cs="Times New Roman"/>
          <w:kern w:val="0"/>
          <w:szCs w:val="24"/>
        </w:rPr>
        <w:t>情形欄勾選「未發生」係指有評估重點所規範之業務，但評估期間未發生，致無法評估者；「不適用」係指評估期間法令規定或</w:t>
      </w:r>
      <w:r w:rsidRPr="00591EC9">
        <w:rPr>
          <w:rFonts w:ascii="標楷體" w:eastAsia="標楷體" w:hAnsi="標楷體" w:cs="Times New Roman" w:hint="eastAsia"/>
          <w:kern w:val="0"/>
          <w:szCs w:val="24"/>
        </w:rPr>
        <w:t>做</w:t>
      </w:r>
      <w:r w:rsidRPr="00591EC9">
        <w:rPr>
          <w:rFonts w:ascii="標楷體" w:eastAsia="標楷體" w:hAnsi="標楷體" w:cs="Times New Roman"/>
          <w:kern w:val="0"/>
          <w:szCs w:val="24"/>
        </w:rPr>
        <w:t>法已修正，但評估重點未及配合修正者，或無評估重點所規範之業務等。</w:t>
      </w:r>
    </w:p>
    <w:p w:rsidR="008479A3" w:rsidRDefault="00591EC9" w:rsidP="00591EC9">
      <w:r w:rsidRPr="00591EC9">
        <w:rPr>
          <w:rFonts w:ascii="標楷體" w:eastAsia="標楷體" w:hAnsi="標楷體" w:cs="Times New Roman" w:hint="eastAsia"/>
          <w:color w:val="FF0000"/>
          <w:kern w:val="0"/>
          <w:szCs w:val="24"/>
        </w:rPr>
        <w:t>五、</w:t>
      </w:r>
      <w:r w:rsidRPr="00591EC9">
        <w:rPr>
          <w:rFonts w:ascii="Times New Roman" w:eastAsia="標楷體" w:hAnsi="Times New Roman" w:cs="Times New Roman" w:hint="eastAsia"/>
          <w:color w:val="FF0000"/>
          <w:szCs w:val="24"/>
        </w:rPr>
        <w:t>請各填表單位提供佐證資料連同本表送至</w:t>
      </w:r>
      <w:r w:rsidR="00933AA4">
        <w:rPr>
          <w:rFonts w:ascii="Times New Roman" w:eastAsia="標楷體" w:hAnsi="Times New Roman" w:cs="Times New Roman" w:hint="eastAsia"/>
          <w:color w:val="FF0000"/>
          <w:szCs w:val="24"/>
        </w:rPr>
        <w:t>總務處</w:t>
      </w:r>
      <w:bookmarkStart w:id="0" w:name="_GoBack"/>
      <w:bookmarkEnd w:id="0"/>
      <w:r w:rsidRPr="00591EC9">
        <w:rPr>
          <w:rFonts w:ascii="Times New Roman" w:eastAsia="標楷體" w:hAnsi="Times New Roman" w:cs="Times New Roman" w:hint="eastAsia"/>
          <w:color w:val="FF0000"/>
          <w:szCs w:val="24"/>
        </w:rPr>
        <w:t>彙整。</w:t>
      </w:r>
    </w:p>
    <w:sectPr w:rsidR="008479A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C29E8"/>
    <w:multiLevelType w:val="hybridMultilevel"/>
    <w:tmpl w:val="6A804E7A"/>
    <w:lvl w:ilvl="0" w:tplc="7BAE3D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9E02B3"/>
    <w:multiLevelType w:val="hybridMultilevel"/>
    <w:tmpl w:val="873C940E"/>
    <w:lvl w:ilvl="0" w:tplc="C52006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2B68BB"/>
    <w:multiLevelType w:val="hybridMultilevel"/>
    <w:tmpl w:val="3D0A1DAC"/>
    <w:lvl w:ilvl="0" w:tplc="DD605E70">
      <w:start w:val="1"/>
      <w:numFmt w:val="taiwaneseCountingThousand"/>
      <w:lvlText w:val="(%1)"/>
      <w:lvlJc w:val="left"/>
      <w:pPr>
        <w:tabs>
          <w:tab w:val="num" w:pos="1248"/>
        </w:tabs>
        <w:ind w:left="1248" w:hanging="528"/>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C9"/>
    <w:rsid w:val="00591EC9"/>
    <w:rsid w:val="008479A3"/>
    <w:rsid w:val="00933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DD44"/>
  <w14:defaultImageDpi w14:val="330"/>
  <w15:chartTrackingRefBased/>
  <w15:docId w15:val="{ED7653E4-8188-4801-A86A-5FB5F645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2024-02-02T05:21:00Z</dcterms:created>
  <dcterms:modified xsi:type="dcterms:W3CDTF">2024-02-02T05:21:00Z</dcterms:modified>
</cp:coreProperties>
</file>